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5705" w:rsidRDefault="00F05705" w:rsidP="00F05705">
      <w:pPr>
        <w:spacing w:before="120" w:after="120" w:line="312" w:lineRule="auto"/>
        <w:ind w:firstLineChars="217" w:firstLine="564"/>
        <w:rPr>
          <w:rFonts w:cs="Times New Roman"/>
          <w:b/>
          <w:bCs/>
          <w:sz w:val="26"/>
          <w:szCs w:val="26"/>
        </w:rPr>
      </w:pPr>
      <w:bookmarkStart w:id="0" w:name="_Toc26932"/>
      <w:r>
        <w:rPr>
          <w:rFonts w:cs="Times New Roman"/>
          <w:b/>
          <w:bCs/>
          <w:sz w:val="26"/>
          <w:szCs w:val="26"/>
        </w:rPr>
        <w:t>Mục từ trung bình</w:t>
      </w:r>
    </w:p>
    <w:p w:rsidR="008913AB" w:rsidRDefault="008913AB" w:rsidP="008913AB">
      <w:pPr>
        <w:pStyle w:val="Heading1"/>
        <w:spacing w:before="120" w:after="120" w:line="312" w:lineRule="auto"/>
        <w:ind w:left="499"/>
        <w:rPr>
          <w:rFonts w:cs="Times New Roman"/>
          <w:color w:val="auto"/>
          <w:sz w:val="26"/>
          <w:szCs w:val="26"/>
          <w:lang w:val="vi-VN"/>
        </w:rPr>
      </w:pPr>
      <w:bookmarkStart w:id="1" w:name="_GoBack"/>
      <w:bookmarkEnd w:id="1"/>
      <w:r>
        <w:rPr>
          <w:rFonts w:cs="Times New Roman"/>
          <w:color w:val="auto"/>
          <w:szCs w:val="24"/>
          <w:lang w:val="vi-VN"/>
        </w:rPr>
        <w:t>LÝ LUẬN VỀ TIỀN CÔNG HIỆU SUẤT</w:t>
      </w:r>
      <w:r>
        <w:rPr>
          <w:rFonts w:cs="Times New Roman"/>
          <w:color w:val="auto"/>
          <w:sz w:val="26"/>
          <w:szCs w:val="26"/>
          <w:lang w:val="vi-VN"/>
        </w:rPr>
        <w:t xml:space="preserve"> (Performance Pay Theory)</w:t>
      </w:r>
      <w:bookmarkEnd w:id="0"/>
    </w:p>
    <w:p w:rsidR="008913AB" w:rsidRDefault="008913AB" w:rsidP="008913AB">
      <w:pPr>
        <w:spacing w:before="120" w:after="120" w:line="312" w:lineRule="auto"/>
        <w:ind w:firstLineChars="217" w:firstLine="564"/>
        <w:rPr>
          <w:rFonts w:cs="Times New Roman"/>
          <w:sz w:val="26"/>
          <w:szCs w:val="26"/>
          <w:lang w:val="vi-VN"/>
        </w:rPr>
      </w:pPr>
      <w:r>
        <w:rPr>
          <w:rFonts w:cs="Times New Roman"/>
          <w:sz w:val="26"/>
          <w:szCs w:val="26"/>
          <w:lang w:val="vi-VN"/>
        </w:rPr>
        <w:t xml:space="preserve">hệ thống quan điểm lý thuyết thuộc kinh tế học lao động cho rằng việc trả công tối ưu để tạo động lực cho người lao động trong các hãng cần căn cứ vào hiệu suất (hiệu suất khách quan - objective performance; hoặc hiệu suất chủ quan - subjective performance) của lao động. Từ đó tạo ra cơ sở lý thuyết cho việc lựa chọn các hình thức hợp đồng trả công tối ưu của một hãng tùy theo các đặc trưng và sự khác biệt giữa các thị trường lao động. </w:t>
      </w:r>
    </w:p>
    <w:p w:rsidR="008913AB" w:rsidRDefault="008913AB" w:rsidP="008913AB">
      <w:pPr>
        <w:spacing w:before="120" w:after="120" w:line="312" w:lineRule="auto"/>
        <w:ind w:firstLineChars="217" w:firstLine="564"/>
        <w:rPr>
          <w:rFonts w:cs="Times New Roman"/>
          <w:sz w:val="26"/>
          <w:szCs w:val="26"/>
          <w:lang w:val="vi-VN"/>
        </w:rPr>
      </w:pPr>
      <w:r>
        <w:rPr>
          <w:rFonts w:cs="Times New Roman"/>
          <w:sz w:val="26"/>
          <w:szCs w:val="26"/>
          <w:lang w:val="vi-VN"/>
        </w:rPr>
        <w:t>Lý thuyêt tiền công hiệu suất có sự phân biệt với lý thuyết tiền lương hiệu quả (</w:t>
      </w:r>
      <w:r>
        <w:rPr>
          <w:rFonts w:cs="Times New Roman"/>
          <w:i/>
          <w:iCs/>
          <w:sz w:val="26"/>
          <w:szCs w:val="26"/>
          <w:lang w:val="vi-VN"/>
        </w:rPr>
        <w:t>efficiency wage theory</w:t>
      </w:r>
      <w:r>
        <w:rPr>
          <w:rFonts w:cs="Times New Roman"/>
          <w:sz w:val="26"/>
          <w:szCs w:val="26"/>
          <w:lang w:val="vi-VN"/>
        </w:rPr>
        <w:t xml:space="preserve">). Lý thuyết tiền lương hiệu quả dựa trên giả định cho rằng sản phẩm biên của người lao động và tiền lương của họ có liên quan với nhau. Vì thế các hãng trả tiền lương cao hơn mức tiền lương cân bằng thị trường và tiền lương cao cùng tồn tại với thất nghiệp. </w:t>
      </w:r>
    </w:p>
    <w:p w:rsidR="008913AB" w:rsidRDefault="008913AB" w:rsidP="008913AB">
      <w:pPr>
        <w:spacing w:before="120" w:after="120" w:line="312" w:lineRule="auto"/>
        <w:ind w:firstLineChars="217" w:firstLine="564"/>
        <w:rPr>
          <w:rFonts w:cs="Times New Roman"/>
          <w:sz w:val="26"/>
          <w:szCs w:val="26"/>
          <w:lang w:val="vi-VN"/>
        </w:rPr>
      </w:pPr>
      <w:r>
        <w:rPr>
          <w:rFonts w:cs="Times New Roman"/>
          <w:sz w:val="26"/>
          <w:szCs w:val="26"/>
          <w:lang w:val="vi-VN"/>
        </w:rPr>
        <w:t xml:space="preserve">Trong lý thuyết tiền công hiệu suất, có hai cách lựa chọn để trả công theo hiệu suất lao động. </w:t>
      </w:r>
    </w:p>
    <w:p w:rsidR="008913AB" w:rsidRDefault="008913AB" w:rsidP="008913AB">
      <w:pPr>
        <w:spacing w:before="120" w:after="120" w:line="312" w:lineRule="auto"/>
        <w:ind w:firstLineChars="217" w:firstLine="564"/>
        <w:rPr>
          <w:rFonts w:cs="Times New Roman"/>
          <w:sz w:val="26"/>
          <w:szCs w:val="26"/>
          <w:lang w:val="vi-VN"/>
        </w:rPr>
      </w:pPr>
      <w:r>
        <w:rPr>
          <w:rFonts w:cs="Times New Roman"/>
          <w:sz w:val="26"/>
          <w:szCs w:val="26"/>
          <w:lang w:val="vi-VN"/>
        </w:rPr>
        <w:t>Một là, trả công theo hiệu suất lao động khách quan, tức là việc trả công căn cứ vào sự đánh giá hiệu suất một cách khách quan (thường là bởi một bên thứ ba, hoặc thị trường).</w:t>
      </w:r>
    </w:p>
    <w:p w:rsidR="008913AB" w:rsidRDefault="008913AB" w:rsidP="008913AB">
      <w:pPr>
        <w:spacing w:before="120" w:after="120" w:line="312" w:lineRule="auto"/>
        <w:ind w:firstLineChars="217" w:firstLine="564"/>
        <w:rPr>
          <w:rFonts w:cs="Times New Roman"/>
          <w:sz w:val="26"/>
          <w:szCs w:val="26"/>
          <w:lang w:val="vi-VN"/>
        </w:rPr>
      </w:pPr>
      <w:r>
        <w:rPr>
          <w:rFonts w:cs="Times New Roman"/>
          <w:sz w:val="26"/>
          <w:szCs w:val="26"/>
          <w:lang w:val="vi-VN"/>
        </w:rPr>
        <w:t xml:space="preserve">Hai là, trả công theo hiệu suất lao động chủ quan, tức là việc trả lương theo hiệu suất tự đánh giá của bản thân hãng sử dụng lao động. </w:t>
      </w:r>
    </w:p>
    <w:p w:rsidR="008913AB" w:rsidRDefault="008913AB" w:rsidP="008913AB">
      <w:pPr>
        <w:spacing w:before="120" w:after="120" w:line="312" w:lineRule="auto"/>
        <w:ind w:firstLineChars="217" w:firstLine="564"/>
        <w:rPr>
          <w:rFonts w:cs="Times New Roman"/>
          <w:sz w:val="26"/>
          <w:szCs w:val="26"/>
          <w:lang w:val="vi-VN"/>
        </w:rPr>
      </w:pPr>
      <w:r>
        <w:rPr>
          <w:rFonts w:cs="Times New Roman"/>
          <w:sz w:val="26"/>
          <w:szCs w:val="26"/>
          <w:lang w:val="vi-VN"/>
        </w:rPr>
        <w:t>Tiêu chuẩn trung tâm dựa trên việc sử dụng cách trả công theo hiệu suất khách quan được coi như bắt buộc về mặt pháp lý. Nhưng trả công theo hiệu suất khách quan lại không được áp dụng như kỳ vọng bởi vì những mô hình cụ thể này</w:t>
      </w:r>
      <w:r>
        <w:rPr>
          <w:rFonts w:cs="Times New Roman"/>
          <w:sz w:val="26"/>
          <w:szCs w:val="26"/>
        </w:rPr>
        <w:t xml:space="preserve">, do </w:t>
      </w:r>
      <w:r>
        <w:rPr>
          <w:rFonts w:cs="Times New Roman"/>
          <w:sz w:val="26"/>
          <w:szCs w:val="26"/>
          <w:lang w:val="vi-VN"/>
        </w:rPr>
        <w:t xml:space="preserve">rất nhiều người lao động được trả công một cách cố định. Một trong những khó khăn đối với việc trả công theo hiệu suất khách quan là hiệu suất của các cá nhân có thể khó xác định được theo cách khách quan, bởi vì nó có thể được làm sai lệch bởi bên thứ ba. Hơn nữa, nếu hiệu suất của người lao động được quan sát bên trong một  hay nhiều hãng thì cũng vẫn có thể là những khoản tăng thêm ẩn hoặc trong các bản hợp đồng lao động, dựa trên sự đánh giá hiệu suất mang tính chủ quan để thúc đẩy người lao động. Thực tế, tiền công hiệu suất chủ quan được sử dụng một cách rộng rãi. Bởi vì lương theo hiệu suất chủ quan không mang tính bắt buộc về mặt pháp lý, đó phải là là một sự tự thực hiện. Sự đòi hỏi này làm hạn chế tác dụng của lương theo hiệu suất chủ quan trên thực tế. </w:t>
      </w:r>
    </w:p>
    <w:p w:rsidR="008913AB" w:rsidRDefault="008913AB" w:rsidP="008913AB">
      <w:pPr>
        <w:spacing w:before="120" w:after="120" w:line="312" w:lineRule="auto"/>
        <w:ind w:firstLineChars="217" w:firstLine="564"/>
        <w:rPr>
          <w:rFonts w:cs="Times New Roman"/>
          <w:sz w:val="26"/>
          <w:szCs w:val="26"/>
          <w:lang w:val="vi-VN"/>
        </w:rPr>
      </w:pPr>
      <w:r>
        <w:rPr>
          <w:rFonts w:cs="Times New Roman"/>
          <w:sz w:val="26"/>
          <w:szCs w:val="26"/>
          <w:lang w:val="vi-VN"/>
        </w:rPr>
        <w:lastRenderedPageBreak/>
        <w:t xml:space="preserve">Về vấn đề lương theo ngạch bậc, các khoản thưởng ngoài lương trong một bản hợp đồng lương tối ưu là sự làm giảm đi một cách chắc chắn chi phí thay thế lao động. Hơn nữa, sự giảm xuống của các khoản thưởng ngoài lương thì thường xuyên lớn hơn sự tăng lên của chi phí lao động trung bình gây ra bởi sự gia tăng chi phí thay thế lao động. Điều này hàm ý rằng mức cân bằng việc làm và sự gia tăng phúc lợi trong thị trường lao động và chi phí thay thế lao động. Điều này dẫn tới kết quả: một chút ít cọ sát trên thị trường lao động là có lợi cho sự khắc phục các rủi ro đạo đức của người lao động hay các hãng, vì thế cải thiện phúc lợi xã hội. </w:t>
      </w:r>
    </w:p>
    <w:p w:rsidR="008913AB" w:rsidRDefault="008913AB" w:rsidP="008913AB">
      <w:pPr>
        <w:spacing w:before="120" w:after="120" w:line="312" w:lineRule="auto"/>
        <w:ind w:firstLineChars="217" w:firstLine="564"/>
        <w:rPr>
          <w:rFonts w:cs="Times New Roman"/>
          <w:sz w:val="26"/>
          <w:szCs w:val="26"/>
          <w:lang w:val="vi-VN"/>
        </w:rPr>
      </w:pPr>
      <w:r>
        <w:rPr>
          <w:rFonts w:cs="Times New Roman"/>
          <w:sz w:val="26"/>
          <w:szCs w:val="26"/>
          <w:lang w:val="vi-VN"/>
        </w:rPr>
        <w:t xml:space="preserve">Chi phí thay thế lao động trên thị trường lao động thường bao gồm ba thành tố: các chi phí tuyển dụng, chi phí về sa thải và chi phí đào tạo người lao động. Nhưng không phải tất cả các chi phí đó đều tác động đến hợp đồng lương tối ưu. Theo quan điểm của MacLeod và Malcomson (1989), chỉ có chi phí thay thế lao động làm gia tăng các khoản tiền thuê duy trì lao động tác động một cách có ý nghĩa tới các hợp đồng trả lương. Chi phí tuyển dụng giảm xuống một cách chắc chắn. Chi phí đào tạo lao động cũng như vậy khi chúng không phải là các khoản chuyển dịch đơn thuần giữa các hãng và người lao động, vì vậy, các khoản thanh toán cho người lao động thôi việc không tác động tới hợp đồng lương tối ưu. Các chi phí đào tạo tạo ra các khoản tiền phát sinh chỉ khi chúng là các quan hệ đặc biệt. </w:t>
      </w:r>
    </w:p>
    <w:p w:rsidR="008913AB" w:rsidRDefault="008913AB" w:rsidP="008913AB">
      <w:pPr>
        <w:spacing w:before="120" w:after="120" w:line="312" w:lineRule="auto"/>
        <w:ind w:firstLineChars="217" w:firstLine="564"/>
        <w:rPr>
          <w:rFonts w:cs="Times New Roman"/>
          <w:sz w:val="26"/>
          <w:szCs w:val="26"/>
          <w:lang w:val="vi-VN"/>
        </w:rPr>
      </w:pPr>
      <w:r>
        <w:rPr>
          <w:rFonts w:cs="Times New Roman"/>
          <w:sz w:val="26"/>
          <w:szCs w:val="26"/>
          <w:lang w:val="vi-VN"/>
        </w:rPr>
        <w:t>Hơn nữa, một số loại công việc có thể có cách xác định hiệu suất khách quan, điều này có thể được xác minh bởi tòa án, nhưng hầu hết thường là các cách xác định không hiệu quả đối với hầu hết hiệu suất của một nhân viên. Vì vậy, thực hiện trả công theo hiệu suất khách quan có thể dẫn đến những nỗ lực méo mó. Hơn thế, một hợp đồng rõ ràng đòi hỏi một chi phí hợp đồng, chi phí để viết ra bản hợp đồng và tạo ra các cách xác định hiệu suất có thể kiểm chứng bởi một bên thứ ba. Nhìn chung, ba cách tạo động lực cho người lao động đều có chi phí: lương hiệu quả thì đòi hỏi chi phí là các khoản trả thêm ngoài lương, lương theo hiệu suất khác</w:t>
      </w:r>
      <w:r>
        <w:rPr>
          <w:rFonts w:cs="Times New Roman"/>
          <w:sz w:val="26"/>
          <w:szCs w:val="26"/>
        </w:rPr>
        <w:t>h</w:t>
      </w:r>
      <w:r>
        <w:rPr>
          <w:rFonts w:cs="Times New Roman"/>
          <w:sz w:val="26"/>
          <w:szCs w:val="26"/>
          <w:lang w:val="vi-VN"/>
        </w:rPr>
        <w:t xml:space="preserve"> quan thì gây ra chi phí của những nỗ lực méo mó, và lương theo hiệu suất chủ quan thì tùy thuộc vào uy tín. Bản hợp đồng lương tối ưu có thể sử dụng kết hợp cả ba loại hình thức lương nêu trên. </w:t>
      </w:r>
    </w:p>
    <w:p w:rsidR="008913AB" w:rsidRDefault="008913AB" w:rsidP="008913AB">
      <w:pPr>
        <w:spacing w:before="120" w:after="120" w:line="312" w:lineRule="auto"/>
        <w:ind w:firstLineChars="217" w:firstLine="564"/>
        <w:rPr>
          <w:rFonts w:cs="Times New Roman"/>
          <w:sz w:val="26"/>
          <w:szCs w:val="26"/>
          <w:lang w:val="vi-VN"/>
        </w:rPr>
      </w:pPr>
      <w:r>
        <w:rPr>
          <w:rFonts w:cs="Times New Roman"/>
          <w:sz w:val="26"/>
          <w:szCs w:val="26"/>
          <w:lang w:val="vi-VN"/>
        </w:rPr>
        <w:t xml:space="preserve">Đặc biệt, các bản hợp đồng rõ ràng để trả lương ảnh hưởng đến hợp đồng lương tối ưu theo nhiều cách khác nhau. Trước hết, nếu sự đo lường hiệu suất khách quan là gần sát với sự hoàn hảo, thì việc trả lương theo hiệu suất chủ quan là không khả thi, vì sự dự phòng của hãng sau đổi mới là quá hấp dẫn. Thứ hai, nếu cách đo lường hiệu suất khách quan đưa </w:t>
      </w:r>
      <w:r>
        <w:rPr>
          <w:rFonts w:cs="Times New Roman"/>
          <w:sz w:val="26"/>
          <w:szCs w:val="26"/>
          <w:lang w:val="vi-VN"/>
        </w:rPr>
        <w:lastRenderedPageBreak/>
        <w:t xml:space="preserve">đến các kết quả trong sự nỗ lực méo mó và liên quan tới nhiều chi phí hợp đồng cao, thì hợp đồng lương theo hình thức này là không được tính tới. Ba là, nếu việc xác định hiệu suất khách quan là không quá méo mó và không sát với sự hoàn hảo, thì hợp đồng lương tối ưu sẽ là hình thức lương theo hiệu suất khách quan. Mặc dù tiền công theo hiệu suất khách quan tạo ra bóp méo nỗ lực, sự hiện diện của lương hiệu quả hoặc lương theo hiệu suất chủ quan có thể sửa chữa các méo mó đó. Mặt khác, tiền công hiệu suất khách quan có thể tạo động lực người lao động mà không cần các khoản chi phí phát sinh thêm để đổi mới (đó là sự ràng buộc pháp lý), vì vậy làm giảm yêu cầu đối với các khoản thưởng ngoài lương để khuyến khích người lao động. </w:t>
      </w:r>
    </w:p>
    <w:p w:rsidR="008913AB" w:rsidRDefault="008913AB" w:rsidP="008913AB">
      <w:pPr>
        <w:spacing w:before="120" w:after="120" w:line="312" w:lineRule="auto"/>
        <w:ind w:firstLineChars="217" w:firstLine="521"/>
        <w:jc w:val="right"/>
        <w:rPr>
          <w:rFonts w:cs="Times New Roman"/>
          <w:b/>
          <w:bCs/>
          <w:sz w:val="24"/>
          <w:szCs w:val="24"/>
          <w:lang w:val="vi-VN"/>
        </w:rPr>
      </w:pPr>
      <w:r>
        <w:rPr>
          <w:rFonts w:cs="Times New Roman"/>
          <w:b/>
          <w:bCs/>
          <w:sz w:val="24"/>
          <w:szCs w:val="24"/>
          <w:lang w:val="vi-VN"/>
        </w:rPr>
        <w:t>NGÔ TUẤN NGHĨA</w:t>
      </w:r>
    </w:p>
    <w:p w:rsidR="008913AB" w:rsidRDefault="008913AB" w:rsidP="008913AB">
      <w:pPr>
        <w:spacing w:before="120" w:after="120" w:line="312" w:lineRule="auto"/>
        <w:ind w:firstLineChars="217" w:firstLine="564"/>
        <w:rPr>
          <w:rFonts w:cs="Times New Roman"/>
          <w:b/>
          <w:bCs/>
          <w:sz w:val="26"/>
          <w:szCs w:val="26"/>
          <w:lang w:val="vi-VN"/>
        </w:rPr>
      </w:pPr>
      <w:r>
        <w:rPr>
          <w:rFonts w:cs="Times New Roman"/>
          <w:b/>
          <w:bCs/>
          <w:sz w:val="26"/>
          <w:szCs w:val="26"/>
          <w:lang w:val="vi-VN"/>
        </w:rPr>
        <w:t>Tài liệu tham khảo</w:t>
      </w:r>
    </w:p>
    <w:p w:rsidR="008913AB" w:rsidRDefault="008913AB" w:rsidP="008913AB">
      <w:pPr>
        <w:spacing w:before="120" w:after="120" w:line="312" w:lineRule="auto"/>
        <w:ind w:firstLineChars="217" w:firstLine="564"/>
        <w:rPr>
          <w:rFonts w:cs="Times New Roman"/>
          <w:sz w:val="26"/>
          <w:szCs w:val="26"/>
        </w:rPr>
      </w:pPr>
      <w:r>
        <w:rPr>
          <w:rFonts w:cs="Times New Roman"/>
          <w:sz w:val="26"/>
          <w:szCs w:val="26"/>
        </w:rPr>
        <w:t>1</w:t>
      </w:r>
      <w:r>
        <w:rPr>
          <w:rFonts w:cs="Times New Roman"/>
          <w:sz w:val="26"/>
          <w:szCs w:val="26"/>
          <w:lang w:val="vi-VN"/>
        </w:rPr>
        <w:t xml:space="preserve">. </w:t>
      </w:r>
      <w:r>
        <w:rPr>
          <w:rFonts w:cs="Times New Roman"/>
          <w:sz w:val="26"/>
          <w:szCs w:val="26"/>
        </w:rPr>
        <w:t xml:space="preserve">Hilary Ingham and Steve Thomson (1994), </w:t>
      </w:r>
      <w:r>
        <w:rPr>
          <w:rFonts w:cs="Times New Roman"/>
          <w:i/>
          <w:iCs/>
          <w:sz w:val="26"/>
          <w:szCs w:val="26"/>
        </w:rPr>
        <w:t>Paying for Perfermace: Efficiency wages and mutuality</w:t>
      </w:r>
      <w:r>
        <w:rPr>
          <w:rFonts w:cs="Times New Roman"/>
          <w:sz w:val="26"/>
          <w:szCs w:val="26"/>
        </w:rPr>
        <w:t>, Managerial and dicision economics, vol,.15, 279-289.</w:t>
      </w:r>
    </w:p>
    <w:p w:rsidR="008913AB" w:rsidRDefault="008913AB" w:rsidP="008913AB">
      <w:pPr>
        <w:spacing w:before="120" w:after="120" w:line="312" w:lineRule="auto"/>
        <w:ind w:firstLineChars="217" w:firstLine="564"/>
        <w:rPr>
          <w:rFonts w:cs="Times New Roman"/>
          <w:sz w:val="26"/>
          <w:szCs w:val="26"/>
          <w:lang w:val="vi-VN"/>
        </w:rPr>
      </w:pPr>
      <w:r>
        <w:rPr>
          <w:rFonts w:cs="Times New Roman"/>
          <w:sz w:val="26"/>
          <w:szCs w:val="26"/>
        </w:rPr>
        <w:t>2</w:t>
      </w:r>
      <w:r>
        <w:rPr>
          <w:rFonts w:cs="Times New Roman"/>
          <w:sz w:val="26"/>
          <w:szCs w:val="26"/>
          <w:lang w:val="vi-VN"/>
        </w:rPr>
        <w:t xml:space="preserve">. </w:t>
      </w:r>
      <w:r>
        <w:rPr>
          <w:rFonts w:cs="Times New Roman"/>
          <w:sz w:val="26"/>
          <w:szCs w:val="26"/>
        </w:rPr>
        <w:t xml:space="preserve">Huangxing Yang (2003), </w:t>
      </w:r>
      <w:r>
        <w:rPr>
          <w:rFonts w:cs="Times New Roman"/>
          <w:i/>
          <w:iCs/>
          <w:sz w:val="26"/>
          <w:szCs w:val="26"/>
        </w:rPr>
        <w:t>Efficiency Wage and Performance pay</w:t>
      </w:r>
      <w:r>
        <w:rPr>
          <w:rFonts w:cs="Times New Roman"/>
          <w:sz w:val="26"/>
          <w:szCs w:val="26"/>
        </w:rPr>
        <w:t xml:space="preserve">, University of Pennsylvania, June, US. </w:t>
      </w:r>
    </w:p>
    <w:p w:rsidR="00776528" w:rsidRDefault="008913AB" w:rsidP="008913AB">
      <w:r>
        <w:rPr>
          <w:rFonts w:eastAsia="Calibri" w:cs="Times New Roman"/>
          <w:b/>
          <w:bCs/>
          <w:sz w:val="26"/>
          <w:szCs w:val="26"/>
        </w:rPr>
        <w:br w:type="page"/>
      </w:r>
    </w:p>
    <w:sectPr w:rsidR="007765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79F3E7D"/>
    <w:multiLevelType w:val="singleLevel"/>
    <w:tmpl w:val="D79F3E7D"/>
    <w:lvl w:ilvl="0">
      <w:start w:val="122"/>
      <w:numFmt w:val="decimal"/>
      <w:suff w:val="space"/>
      <w:lvlText w:val="%1."/>
      <w:lvlJc w:val="left"/>
      <w:rPr>
        <w:rFonts w:ascii="Times New Roman" w:hAnsi="Times New Roman" w:cs="Times New Roman" w:hint="default"/>
        <w:sz w:val="24"/>
        <w:szCs w:val="24"/>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13AB"/>
    <w:rsid w:val="000358AD"/>
    <w:rsid w:val="00052F55"/>
    <w:rsid w:val="000A6502"/>
    <w:rsid w:val="000E40BB"/>
    <w:rsid w:val="001921E0"/>
    <w:rsid w:val="001E3569"/>
    <w:rsid w:val="00204DF2"/>
    <w:rsid w:val="00204FB3"/>
    <w:rsid w:val="00230086"/>
    <w:rsid w:val="00234AF3"/>
    <w:rsid w:val="00235E22"/>
    <w:rsid w:val="00302C11"/>
    <w:rsid w:val="00320B35"/>
    <w:rsid w:val="00331C8D"/>
    <w:rsid w:val="00354FD3"/>
    <w:rsid w:val="0047116B"/>
    <w:rsid w:val="006C40B0"/>
    <w:rsid w:val="00776528"/>
    <w:rsid w:val="00816F1D"/>
    <w:rsid w:val="008913AB"/>
    <w:rsid w:val="00995A87"/>
    <w:rsid w:val="00A00872"/>
    <w:rsid w:val="00A54FF1"/>
    <w:rsid w:val="00A67A00"/>
    <w:rsid w:val="00C05E7E"/>
    <w:rsid w:val="00D71889"/>
    <w:rsid w:val="00D725A7"/>
    <w:rsid w:val="00D87CAA"/>
    <w:rsid w:val="00ED3D01"/>
    <w:rsid w:val="00F05705"/>
    <w:rsid w:val="00F33B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D3ED5"/>
  <w15:chartTrackingRefBased/>
  <w15:docId w15:val="{3BC4662C-BEDC-45B4-AFF5-074F214C6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13AB"/>
    <w:pPr>
      <w:spacing w:after="0" w:line="240" w:lineRule="auto"/>
      <w:jc w:val="both"/>
    </w:pPr>
    <w:rPr>
      <w:rFonts w:ascii="Times New Roman" w:hAnsi="Times New Roman"/>
      <w:sz w:val="28"/>
    </w:rPr>
  </w:style>
  <w:style w:type="paragraph" w:styleId="Heading1">
    <w:name w:val="heading 1"/>
    <w:basedOn w:val="Title"/>
    <w:next w:val="Normal"/>
    <w:link w:val="Heading1Char"/>
    <w:uiPriority w:val="9"/>
    <w:qFormat/>
    <w:rsid w:val="008913AB"/>
    <w:pPr>
      <w:keepNext/>
      <w:keepLines/>
      <w:spacing w:before="240"/>
      <w:outlineLvl w:val="0"/>
    </w:pPr>
    <w:rPr>
      <w:rFonts w:ascii="Times New Roman" w:hAnsi="Times New Roman"/>
      <w:b/>
      <w:bCs/>
      <w:color w:val="000000" w:themeColor="text1"/>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8913AB"/>
    <w:rPr>
      <w:rFonts w:ascii="Times New Roman" w:eastAsiaTheme="majorEastAsia" w:hAnsi="Times New Roman" w:cstheme="majorBidi"/>
      <w:b/>
      <w:bCs/>
      <w:color w:val="000000" w:themeColor="text1"/>
      <w:spacing w:val="-10"/>
      <w:kern w:val="28"/>
      <w:sz w:val="24"/>
      <w:szCs w:val="32"/>
    </w:rPr>
  </w:style>
  <w:style w:type="paragraph" w:styleId="Title">
    <w:name w:val="Title"/>
    <w:basedOn w:val="Normal"/>
    <w:next w:val="Normal"/>
    <w:link w:val="TitleChar"/>
    <w:uiPriority w:val="10"/>
    <w:qFormat/>
    <w:rsid w:val="008913A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13AB"/>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887</Words>
  <Characters>5060</Characters>
  <Application>Microsoft Office Word</Application>
  <DocSecurity>0</DocSecurity>
  <Lines>42</Lines>
  <Paragraphs>11</Paragraphs>
  <ScaleCrop>false</ScaleCrop>
  <Company/>
  <LinksUpToDate>false</LinksUpToDate>
  <CharactersWithSpaces>5936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2025-12-27T09:09:00Z</dcterms:created>
  <dcterms:modified xsi:type="dcterms:W3CDTF">2025-12-27T09:09:00Z</dcterms:modified>
</cp:coreProperties>
</file>